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2022 176 vom 19. Mai 2023</w:t>
      </w:r>
    </w:p>
    <w:p>
      <w:r>
        <w:t>SZ Gerichte, 2023-05-19, DE</w:t>
      </w:r>
    </w:p>
    <w:p>
      <w:r>
        <w:rPr>
          <w:b/>
        </w:rPr>
        <w:t xml:space="preserve">Quelle: </w:t>
      </w:r>
      <w:r>
        <w:t>https://mcp.opencaselaw.ch/entscheid/sz_gerichte_BEK 2022 176</w:t>
      </w:r>
    </w:p>
    <w:p>
      <w:r>
        <w:t>FR: SZ_GERICHTE BEK 2022 176 du 19 mai 2023</w:t>
      </w:r>
    </w:p>
    <w:p>
      <w:r>
        <w:t>IT: SZ_GERICHTE BEK 2022 176 del 19 maggio 2023</w:t>
      </w:r>
    </w:p>
    <w:p>
      <w:pPr>
        <w:pStyle w:val="Heading2"/>
      </w:pPr>
      <w:r>
        <w:t>Regeste</w:t>
      </w:r>
    </w:p>
    <w:p>
      <w:r>
        <w:t>Einstellung Strafverfahren | Staatsanwaltschaft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Staatsanwaltschaft,</w:t>
      </w:r>
    </w:p>
    <w:p>
      <w:r>
        <w:rPr>
          <w:b/>
        </w:rPr>
        <w:t>E. 2</w:t>
      </w:r>
    </w:p>
    <w:p>
      <w:r>
        <w:t>D.________ , Beschuldigter und Beschwerdegegner, erbeten verteidigt durch Rechtsanwalt E.________, \n \n \n \n \n \n \n \n betreffend \n Einstellung Strafverfahren \n \n \n \n (Beschwerde gegen die Verfügung der Staatsanwaltschaft vom 9. Dezember 2022, SU 2021 4813);- \n \n \n \n hat die Kantonsgerichtsvizepräsidentin, \n \n nachdem sich ergeben und in Erwägung: \n 1. Mit Verfügung vom 9. Dezember 2022 stellte die Staatsanwaltschaft in dem ihr durch A.________ mit Strafanzeige vom 8. Mai 2021 (U-act. 8.1.001) bekannt gemachten Sachverhalt das eröffnete (U-act. 9.0.001) Strafverfahren gegen den Beschuldigten betreffend Betrug, Veruntreuung, betrügerischen Konkurs- und Pfändungsbetrug und Hehlerei gestützt auf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